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团体标准《</w:t>
      </w:r>
      <w:r>
        <w:rPr>
          <w:rFonts w:hint="eastAsia" w:ascii="方正小标宋_GBK" w:hAnsi="宋体" w:eastAsia="方正小标宋_GBK"/>
          <w:color w:val="000000"/>
          <w:sz w:val="44"/>
          <w:szCs w:val="44"/>
          <w:lang w:eastAsia="zh-CN"/>
        </w:rPr>
        <w:t>槟榔芋冬季栽培技术规程</w:t>
      </w:r>
      <w:r>
        <w:rPr>
          <w:rFonts w:hint="eastAsia" w:ascii="方正小标宋_GBK" w:hAnsi="宋体" w:eastAsia="方正小标宋_GBK"/>
          <w:color w:val="000000"/>
          <w:sz w:val="44"/>
          <w:szCs w:val="44"/>
        </w:rPr>
        <w:t>》</w:t>
      </w:r>
    </w:p>
    <w:p>
      <w:pPr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（征求意见稿）编制说明</w:t>
      </w:r>
    </w:p>
    <w:p>
      <w:pPr>
        <w:autoSpaceDE w:val="0"/>
        <w:autoSpaceDN w:val="0"/>
        <w:adjustRightInd w:val="0"/>
        <w:spacing w:before="156" w:beforeLines="50" w:after="156" w:afterLines="50" w:line="520" w:lineRule="exact"/>
        <w:ind w:firstLine="640" w:firstLineChars="200"/>
        <w:jc w:val="left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一、项目来源</w:t>
      </w:r>
    </w:p>
    <w:p>
      <w:pPr>
        <w:spacing w:line="5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bookmarkStart w:id="3" w:name="_GoBack"/>
      <w:r>
        <w:rPr>
          <w:rFonts w:hint="eastAsia" w:ascii="仿宋_GB2312" w:hAnsi="宋体" w:eastAsia="仿宋_GB2312"/>
          <w:sz w:val="28"/>
          <w:szCs w:val="28"/>
        </w:rPr>
        <w:t>根据《关于下达2021年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四十一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批</w:t>
      </w:r>
      <w:r>
        <w:rPr>
          <w:rFonts w:hint="eastAsia" w:ascii="仿宋_GB2312" w:hAnsi="宋体" w:eastAsia="仿宋_GB2312"/>
          <w:sz w:val="28"/>
          <w:szCs w:val="28"/>
        </w:rPr>
        <w:t>团体标准制修订项目计划的通知》（桂标协〔2021〕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107</w:t>
      </w:r>
      <w:r>
        <w:rPr>
          <w:rFonts w:hint="eastAsia" w:ascii="仿宋_GB2312" w:hAnsi="宋体" w:eastAsia="仿宋_GB2312"/>
          <w:sz w:val="28"/>
          <w:szCs w:val="28"/>
        </w:rPr>
        <w:t>号）文件精神，由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广西壮族自治区农业科学院生物技术研究所</w:t>
      </w:r>
      <w:r>
        <w:rPr>
          <w:rFonts w:hint="eastAsia" w:ascii="仿宋_GB2312" w:hAnsi="宋体" w:eastAsia="仿宋_GB2312"/>
          <w:sz w:val="28"/>
          <w:szCs w:val="28"/>
        </w:rPr>
        <w:t>提出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，广西壮族自治区农业科学院生物技术研究所、合浦县安农农业发展有限公司共同</w:t>
      </w:r>
      <w:r>
        <w:rPr>
          <w:rFonts w:hint="eastAsia" w:ascii="仿宋_GB2312" w:hAnsi="宋体" w:eastAsia="仿宋_GB2312"/>
          <w:sz w:val="28"/>
          <w:szCs w:val="28"/>
        </w:rPr>
        <w:t>起草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的</w:t>
      </w:r>
      <w:r>
        <w:rPr>
          <w:rFonts w:hint="eastAsia" w:ascii="仿宋_GB2312" w:hAnsi="宋体" w:eastAsia="仿宋_GB2312"/>
          <w:sz w:val="28"/>
          <w:szCs w:val="28"/>
        </w:rPr>
        <w:t>团体标准《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槟榔芋冬季栽培技术规程</w:t>
      </w:r>
      <w:r>
        <w:rPr>
          <w:rFonts w:hint="eastAsia" w:ascii="仿宋_GB2312" w:hAnsi="宋体" w:eastAsia="仿宋_GB2312"/>
          <w:sz w:val="28"/>
          <w:szCs w:val="28"/>
        </w:rPr>
        <w:t>》（项目编号：2021-4103）</w:t>
      </w:r>
      <w:bookmarkEnd w:id="3"/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autoSpaceDE w:val="0"/>
        <w:autoSpaceDN w:val="0"/>
        <w:adjustRightInd w:val="0"/>
        <w:spacing w:before="156" w:beforeLines="50" w:after="156" w:afterLines="50" w:line="520" w:lineRule="exact"/>
        <w:ind w:firstLine="640" w:firstLineChars="200"/>
        <w:jc w:val="left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二、项目背景及目的意义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党的十九大提出实施乡村振兴战略，将产业兴旺作为其中重要目标和内容。近年来，我区加强政策扶持，坚持规划引领，破除发展痛点，全力推动产业高质量发展。出台了《广西乡村振兴战略规划（2018—2022年）》、《广西农产品加工业提升发展规划（2018—2022年）》、《广西特色农产品优势区建设规划（2018—2022年）》等系列支持政策文件对广西特色农业发展做了政策支撑保障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槟榔芋属天南星科芋属魁芋类，芋肉具有紫色槟榔花纹，富含淀粉、维生素和氨基酸等。广西是槟榔芋的主产区之一，以盛产“荔浦芋”而闻名。槟榔芋生长周期长，需平均温度12 ℃以上才可以正常生长发育，因此常规栽培于每年3月初播种，11月底至12月收获，而广西桂南地区冬季最低温度在13～15 ℃，无霜冻期，加上盖地膜保温，可以在冬季10月底至12月初播种，次年6月底至7月收获。近年来，由于常规栽培在12月集中上市，价格较低，越来越多的种植户在广西桂南地区冬季种植槟榔芋，价格高，效益好。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芋疫病、软腐病和斜纹夜蛾是槟榔芋生产上的主要病虫害。芋疫病和斜纹夜蛾在7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～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9月是其发病高峰期，高峰期期间平均10d左右防治一次。冬季种植收获时间早，在7月中旬就可以采收，因此可以有效避开芋疫病和斜纹叶蛾的发病高峰期，减少防治成本。冬季栽培在6月中旬至7月初防治1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～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2次疫病和斜纹叶蛾就可以达到防治目的；常规栽培在11月底至12月初采收，7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～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9月整个发病高峰期需要密集用药（如遇连续阴雨天气，在雨停后需要马上用药，增加防治次数）， 整个发病高峰需要防治8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～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9次。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芋疫病每667m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superscript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单次防治成本约100元，斜纹叶蛾每667m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superscript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单次防治成本约40元。冬季栽培技术芋疫病和斜纹叶蛾每667 m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superscript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的防治成本约280元，常规栽培技术的防治成本为1260元，与常规栽培技术相比较，冬季栽培技术在病虫害防治上每667 m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superscript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节约用药成本980元。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槟榔芋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冬季栽培每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667m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superscript"/>
        </w:rPr>
        <w:t>2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产量可达2200kg，在产量上略低于常规栽培。冬季种植一般在7月中旬采收，芋头上市少，价格高，效益好，收购价格可达6元/kg，常规栽培由于芋头集中上市，价格较低，为4元/kg。冬季栽培由于用药成本和人工成本降低，每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667m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superscript"/>
        </w:rPr>
        <w:t>2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种植成本3500元，常规栽培技术每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667 m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superscript"/>
        </w:rPr>
        <w:t>2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种植成本约5000元。因此，冬季栽培虽然产量略低，但效益较高，每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667 m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superscript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利润为9700元；常规栽培虽然产量较高，但由于价格因素，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每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667 m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superscript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利润为5000元，效益反而较低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通过制定团体标准《槟榔芋冬季栽培技术规程》，以标准为抓手，统一规范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技术的总体要求，用标准化手段，将能更好的指导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生产，对促进区内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技术的推广应用，提高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技术水平，保障广西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</w:t>
      </w:r>
      <w:r>
        <w:rPr>
          <w:rFonts w:hint="eastAsia" w:ascii="仿宋_GB2312" w:hAnsi="宋体" w:eastAsia="仿宋_GB2312"/>
          <w:sz w:val="28"/>
          <w:szCs w:val="28"/>
        </w:rPr>
        <w:t>质量，对助推广西乡村振兴，促进广西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</w:t>
      </w:r>
      <w:r>
        <w:rPr>
          <w:rFonts w:hint="eastAsia" w:ascii="仿宋_GB2312" w:hAnsi="宋体" w:eastAsia="仿宋_GB2312"/>
          <w:sz w:val="28"/>
          <w:szCs w:val="28"/>
        </w:rPr>
        <w:t>产业高质量发展具有重要意义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三、项目编制过程</w:t>
      </w:r>
    </w:p>
    <w:p>
      <w:pPr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（一）成立标准编制工作组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团体标准《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槟榔芋冬季栽培技术规程</w:t>
      </w:r>
      <w:r>
        <w:rPr>
          <w:rFonts w:hint="eastAsia" w:ascii="仿宋_GB2312" w:hAnsi="宋体" w:eastAsia="仿宋_GB2312"/>
          <w:sz w:val="28"/>
          <w:szCs w:val="28"/>
        </w:rPr>
        <w:t>》项目任务下达后，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广西壮族自治区农业科学院生物技术研究所</w:t>
      </w:r>
      <w:r>
        <w:rPr>
          <w:rFonts w:hint="eastAsia" w:ascii="仿宋_GB2312" w:hAnsi="宋体" w:eastAsia="仿宋_GB2312"/>
          <w:sz w:val="28"/>
          <w:szCs w:val="28"/>
        </w:rPr>
        <w:t>成立了标准编制工作组，起草单位制定了起草编写方案与进度安排，明确任务职责，确定工作技术路线，开展标准研制工作。具体标准编制工作由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广西壮族自治区农业科学院生物技术研究所、合浦县安农农业发展有限公司</w:t>
      </w:r>
      <w:r>
        <w:rPr>
          <w:rFonts w:hint="eastAsia" w:ascii="仿宋_GB2312" w:hAnsi="宋体" w:eastAsia="仿宋_GB2312"/>
          <w:sz w:val="28"/>
          <w:szCs w:val="28"/>
        </w:rPr>
        <w:t>组成标准编制工作组。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编制工作组下设三个组，分别是资料收集组、草案编写组、标准实施组。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资料收集组负责国内外有关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技术的文献资料的查询、收集和整理工作，查阅前人对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技术的研究情况和目前科学界对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技术的研究进展。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草案编写组负责起草标准草案、征求意见稿和标准编制说明、送审稿及编制说明的编写工作，包括后期召开征求意见会、网上征求意见，以及标准的不断修改和完善。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标准实施组负责《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槟榔芋冬季栽培技术规程</w:t>
      </w:r>
      <w:r>
        <w:rPr>
          <w:rFonts w:hint="eastAsia" w:ascii="仿宋_GB2312" w:hAnsi="宋体" w:eastAsia="仿宋_GB2312"/>
          <w:sz w:val="28"/>
          <w:szCs w:val="28"/>
        </w:rPr>
        <w:t>》团体标准发布后，组织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企业、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户开展标准宣贯培训会，对标准进行详细解读，让相关人员了解标准，并根据标准对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技术的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产地环境条件、品种选择、种芋处理、定植、田间管理、病虫害防治、采收</w:t>
      </w:r>
      <w:r>
        <w:rPr>
          <w:rFonts w:hint="eastAsia" w:ascii="仿宋_GB2312" w:hAnsi="宋体" w:eastAsia="仿宋_GB2312"/>
          <w:sz w:val="28"/>
          <w:szCs w:val="28"/>
        </w:rPr>
        <w:t>等进行规范化操作，保证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广西槟榔芋</w:t>
      </w:r>
      <w:r>
        <w:rPr>
          <w:rFonts w:hint="eastAsia" w:ascii="仿宋_GB2312" w:hAnsi="宋体" w:eastAsia="仿宋_GB2312"/>
          <w:sz w:val="28"/>
          <w:szCs w:val="28"/>
        </w:rPr>
        <w:t>的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栽培</w:t>
      </w:r>
      <w:r>
        <w:rPr>
          <w:rFonts w:hint="eastAsia" w:ascii="仿宋_GB2312" w:hAnsi="宋体" w:eastAsia="仿宋_GB2312"/>
          <w:sz w:val="28"/>
          <w:szCs w:val="28"/>
        </w:rPr>
        <w:t>生产质量，并对标准实施情况进行总结分析，不断对团体标准提出修正意见。</w:t>
      </w:r>
    </w:p>
    <w:p>
      <w:pPr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（二）收集整理文献资料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标准编制工作组收集了国内有关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槟榔芋冬季栽培技术</w:t>
      </w:r>
      <w:r>
        <w:rPr>
          <w:rFonts w:hint="eastAsia" w:ascii="仿宋_GB2312" w:hAnsi="宋体" w:eastAsia="仿宋_GB2312"/>
          <w:sz w:val="28"/>
          <w:szCs w:val="28"/>
        </w:rPr>
        <w:t>相关文献资料。主要有：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  <w:lang w:bidi="zh-CN"/>
        </w:rPr>
      </w:pPr>
      <w:r>
        <w:rPr>
          <w:rFonts w:hint="eastAsia" w:ascii="仿宋_GB2312" w:hAnsi="宋体" w:eastAsia="仿宋_GB2312"/>
          <w:sz w:val="28"/>
          <w:szCs w:val="28"/>
          <w:lang w:bidi="zh-CN"/>
        </w:rPr>
        <w:t>GB/T 8321（所有部分）  农药合理使用准则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  <w:lang w:bidi="zh-CN"/>
        </w:rPr>
      </w:pPr>
      <w:r>
        <w:rPr>
          <w:rFonts w:hint="eastAsia" w:ascii="仿宋_GB2312" w:hAnsi="宋体" w:eastAsia="仿宋_GB2312"/>
          <w:sz w:val="28"/>
          <w:szCs w:val="28"/>
          <w:lang w:bidi="zh-CN"/>
        </w:rPr>
        <w:t>NY/T 496  肥料合理使用准则  通则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  <w:lang w:bidi="zh-CN"/>
        </w:rPr>
      </w:pPr>
      <w:r>
        <w:rPr>
          <w:rFonts w:hint="eastAsia" w:ascii="仿宋_GB2312" w:hAnsi="宋体" w:eastAsia="仿宋_GB2312"/>
          <w:sz w:val="28"/>
          <w:szCs w:val="28"/>
          <w:lang w:bidi="zh-CN"/>
        </w:rPr>
        <w:t>NY/T 5010  无公害农产品  种植业产地环境条件</w:t>
      </w:r>
    </w:p>
    <w:p>
      <w:pPr>
        <w:pStyle w:val="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DB440100/T 49 槟榔芋生产技术规程</w:t>
      </w:r>
    </w:p>
    <w:p>
      <w:pPr>
        <w:pStyle w:val="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DB37/T 1405 无公害食品 芋头生产技术规程</w:t>
      </w:r>
    </w:p>
    <w:p>
      <w:pPr>
        <w:pStyle w:val="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DB51/T 826 芋生产技术规程</w:t>
      </w:r>
    </w:p>
    <w:p>
      <w:pPr>
        <w:pStyle w:val="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DB37/T 2053 绿色食品 芋头生产技术规程</w:t>
      </w:r>
    </w:p>
    <w:p>
      <w:pPr>
        <w:pStyle w:val="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DB32/T 2207 红香芋生产技术规程</w:t>
      </w:r>
    </w:p>
    <w:p>
      <w:pPr>
        <w:pStyle w:val="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DB44/T 1246-2013 红芽芋生产技术规程</w:t>
      </w:r>
    </w:p>
    <w:p>
      <w:pPr>
        <w:pStyle w:val="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DB42/T 1028 芋头生产技术规程</w:t>
      </w:r>
    </w:p>
    <w:p>
      <w:pPr>
        <w:pStyle w:val="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DB32/T 2641 靖江香沙芋生产技术规程</w:t>
      </w:r>
    </w:p>
    <w:p>
      <w:pPr>
        <w:pStyle w:val="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DB45/T 72</w:t>
      </w:r>
      <w:r>
        <w:rPr>
          <w:rFonts w:hint="eastAsia" w:ascii="仿宋_GB2312" w:hAnsi="宋体" w:eastAsia="仿宋_GB2312"/>
          <w:sz w:val="28"/>
          <w:szCs w:val="28"/>
        </w:rPr>
        <w:tab/>
      </w:r>
      <w:r>
        <w:rPr>
          <w:rFonts w:hint="eastAsia" w:ascii="仿宋_GB2312" w:hAnsi="宋体" w:eastAsia="仿宋_GB2312"/>
          <w:sz w:val="28"/>
          <w:szCs w:val="28"/>
        </w:rPr>
        <w:t>荔浦芋生产技术规程</w:t>
      </w:r>
    </w:p>
    <w:p>
      <w:pPr>
        <w:pStyle w:val="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DB45/T971</w:t>
      </w:r>
      <w:r>
        <w:rPr>
          <w:rFonts w:hint="eastAsia" w:ascii="仿宋_GB2312" w:hAnsi="宋体" w:eastAsia="仿宋_GB2312"/>
          <w:sz w:val="28"/>
          <w:szCs w:val="28"/>
        </w:rPr>
        <w:tab/>
      </w:r>
      <w:r>
        <w:rPr>
          <w:rFonts w:hint="eastAsia" w:ascii="仿宋_GB2312" w:hAnsi="宋体" w:eastAsia="仿宋_GB2312"/>
          <w:sz w:val="28"/>
          <w:szCs w:val="28"/>
        </w:rPr>
        <w:t>贺州香芋生产技术规程</w:t>
      </w:r>
    </w:p>
    <w:p>
      <w:pPr>
        <w:pStyle w:val="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DB45/T 1655芋头组培苗生产技术规程</w:t>
      </w:r>
    </w:p>
    <w:p>
      <w:pPr>
        <w:pStyle w:val="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T/GXAS 163  芋疫病综合防控技术规程</w:t>
      </w:r>
    </w:p>
    <w:p>
      <w:pPr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（三）研讨确定标准主体内容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标准编制工作组在对收集的资料进行整理研究之后，2021年6月，标准编制工作组召开了标准编制会议，对标准的整体框架结构进行了研究，并对标准的关键性内容进行了初步探讨。经过研究，标准的主体内容确定为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确立了槟榔芋冬季栽培程序，规定了产地环境条件、品种选择、种芋处理、定植、田间管理、病虫害防治、采收等操作指示，描述了生产档案等追溯方法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（四）调研、形成征求意见稿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2021年7月，标准起草工作小组进行了广泛实地调研工作，查阅了大量的国内外文献资料，对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技术的前人研究成果进行系统总结。形成了标准的基本构架，对主要内容进行了讨论并对项目的工作进行了部署和安排。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2021年8月，在前期工作的基础之上，通过理清逻辑脉络，整合已有的参考资料中有关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的技术要求，并结合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实际要求的基础上，按照简化、统一等原则编制完成团体标准《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槟榔芋冬季栽培技术规程</w:t>
      </w:r>
      <w:r>
        <w:rPr>
          <w:rFonts w:hint="eastAsia" w:ascii="仿宋_GB2312" w:hAnsi="宋体" w:eastAsia="仿宋_GB2312"/>
          <w:sz w:val="28"/>
          <w:szCs w:val="28"/>
        </w:rPr>
        <w:t>》（草案）。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2021年9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-11</w:t>
      </w:r>
      <w:r>
        <w:rPr>
          <w:rFonts w:hint="eastAsia" w:ascii="仿宋_GB2312" w:hAnsi="宋体" w:eastAsia="仿宋_GB2312"/>
          <w:sz w:val="28"/>
          <w:szCs w:val="28"/>
        </w:rPr>
        <w:t>月，标准起草工作组再次深入区内涉及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销售的有代表性的农户、企业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、科研单位等</w:t>
      </w:r>
      <w:r>
        <w:rPr>
          <w:rFonts w:hint="eastAsia" w:ascii="仿宋_GB2312" w:hAnsi="宋体" w:eastAsia="仿宋_GB2312"/>
          <w:sz w:val="28"/>
          <w:szCs w:val="28"/>
        </w:rPr>
        <w:t>针对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情况进行分组实地调研学习。通过实地调研，掌握各地方关于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的具体技术要求。并实际征求意见，通过收集反馈了大量意见，标准编制工作组多次召开会议，对标准草案进行了反复修改和研究讨论。进一步讨论完善标准草案，形成团体标准《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槟榔芋冬季栽培技术规程</w:t>
      </w:r>
      <w:r>
        <w:rPr>
          <w:rFonts w:hint="eastAsia" w:ascii="仿宋_GB2312" w:hAnsi="宋体" w:eastAsia="仿宋_GB2312"/>
          <w:sz w:val="28"/>
          <w:szCs w:val="28"/>
        </w:rPr>
        <w:t>》（征求意见稿）和（征求意见稿）编制说明。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黑体" w:hAnsi="黑体" w:eastAsia="黑体" w:cs="仿宋_GB2312"/>
          <w:sz w:val="32"/>
          <w:szCs w:val="32"/>
        </w:rPr>
      </w:pPr>
      <w:bookmarkStart w:id="0" w:name="_Toc526940083"/>
      <w:r>
        <w:rPr>
          <w:rFonts w:hint="eastAsia" w:ascii="黑体" w:hAnsi="黑体" w:eastAsia="黑体" w:cs="仿宋_GB2312"/>
          <w:sz w:val="32"/>
          <w:szCs w:val="32"/>
        </w:rPr>
        <w:t>四、标准制定原则</w:t>
      </w:r>
      <w:bookmarkEnd w:id="0"/>
    </w:p>
    <w:p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（一）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实用性原则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本文件是在充分收集相关资料和文献，分析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技术当前现状，调研各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广西槟榔芋</w:t>
      </w:r>
      <w:r>
        <w:rPr>
          <w:rFonts w:hint="eastAsia" w:ascii="仿宋_GB2312" w:hAnsi="宋体" w:eastAsia="仿宋_GB2312"/>
          <w:sz w:val="28"/>
          <w:szCs w:val="28"/>
        </w:rPr>
        <w:t>市场情况</w:t>
      </w:r>
      <w:r>
        <w:rPr>
          <w:rFonts w:hint="eastAsia"/>
          <w:sz w:val="28"/>
          <w:szCs w:val="28"/>
        </w:rPr>
        <w:t>，</w:t>
      </w:r>
      <w:r>
        <w:rPr>
          <w:rFonts w:hint="eastAsia" w:ascii="仿宋_GB2312" w:hAnsi="宋体" w:eastAsia="仿宋_GB2312"/>
          <w:sz w:val="28"/>
          <w:szCs w:val="28"/>
        </w:rPr>
        <w:t>在现有国家、行业标准相关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技术要求的基础上，结合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企业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、科研单位等</w:t>
      </w:r>
      <w:r>
        <w:rPr>
          <w:rFonts w:hint="eastAsia" w:ascii="仿宋_GB2312" w:hAnsi="宋体" w:eastAsia="仿宋_GB2312"/>
          <w:sz w:val="28"/>
          <w:szCs w:val="28"/>
        </w:rPr>
        <w:t>多年的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广西槟榔芋</w:t>
      </w:r>
      <w:r>
        <w:rPr>
          <w:rFonts w:hint="eastAsia" w:ascii="仿宋_GB2312" w:hAnsi="宋体" w:eastAsia="仿宋_GB2312"/>
          <w:sz w:val="28"/>
          <w:szCs w:val="28"/>
        </w:rPr>
        <w:t>生产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栽培</w:t>
      </w:r>
      <w:r>
        <w:rPr>
          <w:rFonts w:hint="eastAsia" w:ascii="仿宋_GB2312" w:hAnsi="宋体" w:eastAsia="仿宋_GB2312"/>
          <w:sz w:val="28"/>
          <w:szCs w:val="28"/>
        </w:rPr>
        <w:t>经验、试验而总结起草的，符合当前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技术发展的方向与市场需求，有利于行业的长远发展，有利于提高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广西槟榔芋</w:t>
      </w:r>
      <w:r>
        <w:rPr>
          <w:rFonts w:hint="eastAsia" w:ascii="仿宋_GB2312" w:hAnsi="宋体" w:eastAsia="仿宋_GB2312"/>
          <w:sz w:val="28"/>
          <w:szCs w:val="28"/>
        </w:rPr>
        <w:t>质量和商品经济价值，提高农民经济效益，对推动我区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广西槟榔芋</w:t>
      </w:r>
      <w:r>
        <w:rPr>
          <w:rFonts w:hint="eastAsia" w:ascii="仿宋_GB2312" w:hAnsi="宋体" w:eastAsia="仿宋_GB2312"/>
          <w:sz w:val="28"/>
          <w:szCs w:val="28"/>
        </w:rPr>
        <w:t>产业健康发展，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助力乡村振兴</w:t>
      </w:r>
      <w:r>
        <w:rPr>
          <w:rFonts w:hint="eastAsia" w:ascii="仿宋_GB2312" w:hAnsi="宋体" w:eastAsia="仿宋_GB2312"/>
          <w:sz w:val="28"/>
          <w:szCs w:val="28"/>
        </w:rPr>
        <w:t>，具有较强的实用性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、先进性</w:t>
      </w:r>
      <w:r>
        <w:rPr>
          <w:rFonts w:hint="eastAsia" w:ascii="仿宋_GB2312" w:hAnsi="宋体" w:eastAsia="仿宋_GB2312"/>
          <w:sz w:val="28"/>
          <w:szCs w:val="28"/>
        </w:rPr>
        <w:t>和可操作性。</w:t>
      </w:r>
    </w:p>
    <w:p>
      <w:pPr>
        <w:numPr>
          <w:ilvl w:val="0"/>
          <w:numId w:val="9"/>
        </w:numPr>
        <w:ind w:left="70" w:leftChars="0" w:firstLine="560" w:firstLineChars="0"/>
        <w:rPr>
          <w:rFonts w:hint="eastAsia"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协调性原则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本文件编写过程中注意了与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技术相关法律法规的协调问题，在内容上与现行法律法规、标准协调一致。</w:t>
      </w:r>
    </w:p>
    <w:p>
      <w:pPr>
        <w:numPr>
          <w:ilvl w:val="0"/>
          <w:numId w:val="9"/>
        </w:numPr>
        <w:ind w:left="70" w:leftChars="0" w:firstLine="560" w:firstLineChars="0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规范性原则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本文件严格按照GB/T 1.1—2020《标准化工作导则  第1部分：标准化文件的结构和起草规则》编写本标准的内容，保证标准的编写质量。</w:t>
      </w:r>
    </w:p>
    <w:p>
      <w:pPr>
        <w:numPr>
          <w:ilvl w:val="0"/>
          <w:numId w:val="9"/>
        </w:numPr>
        <w:ind w:left="70" w:leftChars="0" w:firstLine="560" w:firstLineChars="0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前瞻性原则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本文件在兼顾当前区内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广西槟榔芋</w:t>
      </w:r>
      <w:r>
        <w:rPr>
          <w:rFonts w:hint="eastAsia" w:ascii="仿宋_GB2312" w:hAnsi="宋体" w:eastAsia="仿宋_GB2312"/>
          <w:sz w:val="28"/>
          <w:szCs w:val="28"/>
        </w:rPr>
        <w:t>市场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栽培</w:t>
      </w:r>
      <w:r>
        <w:rPr>
          <w:rFonts w:hint="eastAsia" w:ascii="仿宋_GB2312" w:hAnsi="宋体" w:eastAsia="仿宋_GB2312"/>
          <w:sz w:val="28"/>
          <w:szCs w:val="28"/>
        </w:rPr>
        <w:t>技术现实情况的同时，还考虑到了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槟榔芋产业</w:t>
      </w:r>
      <w:r>
        <w:rPr>
          <w:rFonts w:hint="eastAsia" w:ascii="仿宋_GB2312" w:hAnsi="宋体" w:eastAsia="仿宋_GB2312"/>
          <w:sz w:val="28"/>
          <w:szCs w:val="28"/>
        </w:rPr>
        <w:t>快速发展的趋势和需要，在标准中体现了个别特色性、前瞻性和先进性条款，作为对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槟榔芋冬季栽培</w:t>
      </w:r>
      <w:r>
        <w:rPr>
          <w:rFonts w:hint="eastAsia" w:ascii="仿宋_GB2312" w:hAnsi="宋体" w:eastAsia="仿宋_GB2312"/>
          <w:sz w:val="28"/>
          <w:szCs w:val="28"/>
        </w:rPr>
        <w:t>技术发展的指导。</w:t>
      </w:r>
    </w:p>
    <w:p>
      <w:pPr>
        <w:numPr>
          <w:ilvl w:val="0"/>
          <w:numId w:val="10"/>
        </w:numPr>
        <w:autoSpaceDE w:val="0"/>
        <w:autoSpaceDN w:val="0"/>
        <w:adjustRightInd w:val="0"/>
        <w:ind w:firstLine="640" w:firstLineChars="200"/>
        <w:jc w:val="left"/>
        <w:rPr>
          <w:rFonts w:ascii="黑体" w:hAnsi="黑体" w:eastAsia="黑体" w:cs="仿宋_GB2312"/>
          <w:sz w:val="32"/>
          <w:szCs w:val="32"/>
        </w:rPr>
      </w:pPr>
      <w:bookmarkStart w:id="1" w:name="_Toc526940084"/>
      <w:r>
        <w:rPr>
          <w:rFonts w:hint="eastAsia" w:ascii="黑体" w:hAnsi="黑体" w:eastAsia="黑体" w:cs="仿宋_GB2312"/>
          <w:sz w:val="32"/>
          <w:szCs w:val="32"/>
        </w:rPr>
        <w:t>标准主要内容及依据来源</w:t>
      </w:r>
      <w:bookmarkEnd w:id="1"/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28"/>
          <w:szCs w:val="28"/>
        </w:rPr>
        <w:t>本文件</w:t>
      </w:r>
      <w:r>
        <w:rPr>
          <w:rFonts w:hint="eastAsia" w:ascii="仿宋_GB2312" w:eastAsia="仿宋_GB2312"/>
          <w:b w:val="0"/>
          <w:bCs w:val="0"/>
          <w:sz w:val="28"/>
          <w:szCs w:val="28"/>
          <w:lang w:eastAsia="zh-CN"/>
        </w:rPr>
        <w:t>确立了槟榔芋冬季栽培程序，规定了产地环境条件、品种选择、种芋处理、定植、田间管理、病虫害防治、采收等操作指示，描述了生产档案等追溯方法</w:t>
      </w:r>
      <w:r>
        <w:rPr>
          <w:rFonts w:hint="eastAsia" w:ascii="仿宋_GB2312" w:eastAsia="仿宋_GB2312"/>
          <w:b w:val="0"/>
          <w:bCs w:val="0"/>
          <w:sz w:val="28"/>
          <w:szCs w:val="28"/>
        </w:rPr>
        <w:t>。</w:t>
      </w:r>
    </w:p>
    <w:p>
      <w:pPr>
        <w:spacing w:line="560" w:lineRule="exact"/>
        <w:ind w:firstLine="562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  <w:t>产地环境条件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主要是考虑到广西槟榔芋传统产区在桂林、贺州等桂北、桂东等地区，桂南地区如北海、钦州、南宁等地虽有种植，但种植规模较小。近年来，桂南地区、如北海等地，槟榔芋种植面积迅速扩大，急需规范桂南地区的槟榔芋种植，为后续持续增加的农户提供可复制可推广的经验。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为了确保生产出合格的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槟榔芋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，NY/T 5010  无公害农产品  种植业产地环境条件已经对种植地的土壤、灌溉水等作了规定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。</w:t>
      </w:r>
    </w:p>
    <w:p>
      <w:pPr>
        <w:spacing w:line="560" w:lineRule="exact"/>
        <w:ind w:firstLine="562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品种选择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主要考虑：不同品种有不同的生长特性，选择品种是关乎后面种植是否成功的关键，优良品种有高产、优质或适应性强等特性，优先选择品质优良的槟榔芋品种，如桂芋2号、荔浦芋、贺州香芋等道地品种、种植试验成功的品种，是为了少走弯路，即可进行推广种植。</w:t>
      </w:r>
    </w:p>
    <w:p>
      <w:pPr>
        <w:spacing w:line="560" w:lineRule="exact"/>
        <w:ind w:firstLine="562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  <w:t>种芋处理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主要考虑：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为了确保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槟榔芋后期的正常生长以及产品质量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，选择无病虫霉烂、个体饱满的孙芋，单个质量60g～80g，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有利于其正常生产发育；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播种前对种芋进行表面消毒，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可有效减轻后期生长过程中病虫害的发生。</w:t>
      </w:r>
    </w:p>
    <w:p>
      <w:pPr>
        <w:spacing w:line="560" w:lineRule="exact"/>
        <w:ind w:firstLine="562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定植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主要是考虑由于每年5-7月份是全国芋头未上市的“空白”时期。桂南地区可以利用优异的自然光温条件，精准抢抓最佳窗口期，在上年10月下旬12月初完成种植，次年6月下旬至7月采收。即槟榔芋实施较为严格时间要求的冬种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在种植方式上，槟榔芋冬季栽培采用水肥一体化进行管理。一是铺设滴管带后再盖膜。二是实行水肥一体化管理，根据槟榔芋的生长特性供水供肥，节水节肥。三是拓宽槟榔芋种植区域，由于使用水肥一化种植模式，不再局限于水田种植，可以在旱地、坡地等进行种植，扩宽了槟榔芋的种植区域。四是避开病虫害高发期，有利于病虫害防治。</w:t>
      </w:r>
    </w:p>
    <w:p>
      <w:pPr>
        <w:spacing w:line="560" w:lineRule="exact"/>
        <w:ind w:firstLine="562" w:firstLineChars="200"/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</w:pPr>
      <w:r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  <w:t>田间管理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主要分为：苗期管理、</w:t>
      </w:r>
      <w:r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  <w:t>水分管理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、</w:t>
      </w:r>
      <w:r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  <w:t>施肥管理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、及时除芽、</w:t>
      </w:r>
      <w:r>
        <w:rPr>
          <w:rFonts w:hint="eastAsia" w:ascii="仿宋_GB2312" w:hAnsi="Times New Roman" w:eastAsia="仿宋_GB2312" w:cs="Times New Roman"/>
          <w:b/>
          <w:bCs/>
          <w:sz w:val="28"/>
          <w:szCs w:val="28"/>
          <w:lang w:val="en-US" w:eastAsia="zh-CN"/>
        </w:rPr>
        <w:t>控制徒长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。</w:t>
      </w:r>
    </w:p>
    <w:p>
      <w:pPr>
        <w:spacing w:line="560" w:lineRule="exact"/>
        <w:ind w:firstLine="562" w:firstLineChars="200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  <w:t>苗期管理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主要考虑：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芋芽顶起地膜时，及时破膜开孔，孔洞直径15cm～20cm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主要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是利于芋苗露出以及芋苗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的正常伸展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。发现缺苗，及时补种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，保障每亩的生产产量。</w:t>
      </w:r>
    </w:p>
    <w:p>
      <w:pPr>
        <w:spacing w:line="560" w:lineRule="exact"/>
        <w:ind w:firstLine="562" w:firstLineChars="200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  <w:t>水分管理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主要考虑：槟榔芋冬季栽培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的生长过程结果等是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槟榔芋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生长关键期，缺水或水分过多都会造成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槟榔芋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产量降低甚至是无收获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。</w:t>
      </w:r>
    </w:p>
    <w:p>
      <w:pPr>
        <w:spacing w:line="560" w:lineRule="exact"/>
        <w:ind w:firstLine="562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  <w:t>施肥管理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主要考虑：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合理的施肥才能使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槟榔芋冬季栽培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获得高产，同时使用符合标准的肥料才能生产出合格的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槟榔芋产品。</w:t>
      </w:r>
    </w:p>
    <w:p>
      <w:pPr>
        <w:spacing w:line="520" w:lineRule="exact"/>
        <w:ind w:firstLine="562" w:firstLineChars="200"/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28"/>
          <w:szCs w:val="28"/>
          <w:lang w:val="en-US" w:eastAsia="zh-CN"/>
        </w:rPr>
        <w:t>及时除芽和控制徒长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主要考虑槟榔芋植株长到7～8片叶时开始出现侧芽，应尽早铲除，减少养分消耗。2～3月，调节植株株型，保证田间合理的通透性，可根据植株的长势在2月下旬或3月初（第6～7片叶），每667m</w:t>
      </w:r>
      <w:r>
        <w:rPr>
          <w:rFonts w:hint="eastAsia" w:ascii="仿宋_GB2312" w:hAnsi="Times New Roman" w:eastAsia="仿宋_GB2312" w:cs="Times New Roman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用0.2kg～0.3kg多效唑兑水500 kg灌根，若植株长势过旺，可在淋施后20d每667 m</w:t>
      </w:r>
      <w:r>
        <w:rPr>
          <w:rFonts w:hint="eastAsia" w:ascii="仿宋_GB2312" w:hAnsi="Times New Roman" w:eastAsia="仿宋_GB2312" w:cs="Times New Roman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再淋或喷叶1次多效唑80 g～100 g，株高宜控制在1.0 m～1.3m。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  <w:t>病虫害防治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主要是考虑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芋疫病、软腐病和斜纹夜蛾是槟榔芋生产上的主要病虫害。芋疫病和斜纹夜蛾在7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～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9月是其发病高峰期，高峰期期间平均10d左右防治一次。冬季种植收获时间早，在7月中旬就可以采收，因此可以有效避开芋疫病和斜纹叶蛾的发病高峰期，减少防治成本。冬季栽培在6月中旬至7月初防治1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～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2次芋疫病和斜纹叶蛾就可以达到防治目的；常规栽培在11月底至12月初采收，7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～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9月整个发病高峰期需要密集用药（如遇连续阴雨天气，在雨停后需要马上用药，增加防治次数），整个发病高峰需要防治8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～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9次。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芋疫病每667m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superscript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单次防治成本约100元，斜纹叶蛾每667m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superscript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单次防治成本约40元。冬季栽培技术芋疫病和斜纹叶蛾每667m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superscript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的防治成本约280元，常规栽培技术的防治成本为1260元，与常规栽培技术相比较，冬季栽培技术在病虫害防治上每667m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vertAlign w:val="superscript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节约用药成本980元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芋疫病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防治按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T/GXAS 163  芋疫病综合防控技术规程要求执行。</w:t>
      </w:r>
    </w:p>
    <w:p>
      <w:pPr>
        <w:pStyle w:val="2"/>
        <w:ind w:firstLine="562" w:firstLineChars="200"/>
        <w:rPr>
          <w:rFonts w:hint="default" w:ascii="仿宋_GB2312" w:hAnsi="Times New Roman" w:eastAsia="仿宋_GB2312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/>
          <w:bCs/>
          <w:kern w:val="2"/>
          <w:sz w:val="28"/>
          <w:szCs w:val="28"/>
          <w:lang w:val="en-US" w:eastAsia="zh-CN" w:bidi="ar-SA"/>
        </w:rPr>
        <w:t>采收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主要是考虑在7月中旬，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这个时候已经是槟榔芋头成熟较好的时期，也是市场需求最多的时期，因其他地区的槟榔芋尚未上市，价格好，效益高，可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适时采收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。</w:t>
      </w:r>
    </w:p>
    <w:p>
      <w:pPr>
        <w:spacing w:line="560" w:lineRule="exact"/>
        <w:ind w:firstLine="562" w:firstLineChars="200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生产</w:t>
      </w:r>
      <w:r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  <w:t>档案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主要是考虑对整个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槟榔芋冬季栽培</w:t>
      </w:r>
      <w:r>
        <w:rPr>
          <w:rFonts w:hint="default" w:ascii="仿宋_GB2312" w:eastAsia="仿宋_GB2312"/>
          <w:sz w:val="28"/>
          <w:szCs w:val="28"/>
          <w:lang w:val="en-US" w:eastAsia="zh-CN"/>
        </w:rPr>
        <w:t>的过程的材料应及时建档，档案的内容包括品种、来源、种植时间、使用肥料等台账的文件、图片及音像，档案管理人员要求有相关的专业知识，专人负责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六、国内同类标准制修订情况及与法律法规、强制性标准关系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经查阅，国内与槟榔芋冬季栽培技术有关的标准：外省有：DB440100/T 49-2004 槟榔芋生产技术规程、DB37/T 1405-2009 无公害食品 芋头生产技术规程、DB51/T 826-2011 芋生产技术规程、DB37/T 2053-2012 绿色食品 芋头生产技术规程、DB32/T 2207-2012 红香芋生产技术规程、DB44/T 1246-2013 红芽芋生产技术规程、DB42/T 1028-2014 芋头生产技术规程、DB32/T 2641-2014 靖江香沙芋生产技术规程；广西有：DB45/T 72-2003</w:t>
      </w:r>
      <w:r>
        <w:rPr>
          <w:rFonts w:hint="eastAsia" w:ascii="仿宋_GB2312" w:hAnsi="宋体" w:eastAsia="仿宋_GB2312"/>
          <w:sz w:val="28"/>
          <w:szCs w:val="28"/>
        </w:rPr>
        <w:tab/>
      </w:r>
      <w:r>
        <w:rPr>
          <w:rFonts w:hint="eastAsia" w:ascii="仿宋_GB2312" w:hAnsi="宋体" w:eastAsia="仿宋_GB2312"/>
          <w:sz w:val="28"/>
          <w:szCs w:val="28"/>
        </w:rPr>
        <w:t>荔浦芋生产技术规程、DB45/T971-2014</w:t>
      </w:r>
      <w:r>
        <w:rPr>
          <w:rFonts w:hint="eastAsia" w:ascii="仿宋_GB2312" w:hAnsi="宋体" w:eastAsia="仿宋_GB2312"/>
          <w:sz w:val="28"/>
          <w:szCs w:val="28"/>
        </w:rPr>
        <w:tab/>
      </w:r>
      <w:r>
        <w:rPr>
          <w:rFonts w:hint="eastAsia" w:ascii="仿宋_GB2312" w:hAnsi="宋体" w:eastAsia="仿宋_GB2312"/>
          <w:sz w:val="28"/>
          <w:szCs w:val="28"/>
        </w:rPr>
        <w:t>贺州香芋生产技术规程、DB45/T 1655-2017芋头组培苗生产技术规程；但上述的标准，与广西槟榔芋冬季栽培方式方法技术环节方面有较大区别。根据槟榔芋质量要求，制定出一套适合广西槟榔芋冬季栽培的技术规程，为广西槟榔芋产业化发展提供技术支撑很有必要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ascii="黑体" w:hAnsi="黑体" w:eastAsia="黑体" w:cs="仿宋_GB2312"/>
          <w:sz w:val="32"/>
          <w:szCs w:val="32"/>
        </w:rPr>
      </w:pPr>
      <w:bookmarkStart w:id="2" w:name="_Toc526940086"/>
      <w:r>
        <w:rPr>
          <w:rFonts w:hint="eastAsia" w:ascii="黑体" w:hAnsi="黑体" w:eastAsia="黑体" w:cs="仿宋_GB2312"/>
          <w:sz w:val="32"/>
          <w:szCs w:val="32"/>
        </w:rPr>
        <w:t>七、</w:t>
      </w:r>
      <w:bookmarkEnd w:id="2"/>
      <w:r>
        <w:rPr>
          <w:rFonts w:hint="eastAsia" w:ascii="黑体" w:hAnsi="黑体" w:eastAsia="黑体" w:cs="仿宋_GB2312"/>
          <w:sz w:val="32"/>
          <w:szCs w:val="32"/>
        </w:rPr>
        <w:t>重大分歧意见的处理经过和依据</w:t>
      </w:r>
    </w:p>
    <w:p>
      <w:pPr>
        <w:spacing w:line="52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本标准研制过程中无重大分歧意见。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八</w:t>
      </w:r>
      <w:r>
        <w:rPr>
          <w:rFonts w:hint="eastAsia" w:ascii="黑体" w:hAnsi="黑体" w:eastAsia="黑体" w:cs="仿宋_GB2312"/>
          <w:sz w:val="32"/>
          <w:szCs w:val="32"/>
        </w:rPr>
        <w:t>、自我承诺</w:t>
      </w:r>
    </w:p>
    <w:p>
      <w:pPr>
        <w:spacing w:line="520" w:lineRule="exact"/>
        <w:ind w:firstLine="560" w:firstLineChars="2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本标准内容与各项指标不低于国家强制性标准、推荐性国家标准和行业标准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</w:t>
      </w:r>
    </w:p>
    <w:p>
      <w:pPr>
        <w:spacing w:line="520" w:lineRule="exact"/>
        <w:rPr>
          <w:rFonts w:ascii="仿宋_GB2312" w:hAnsi="仿宋" w:eastAsia="仿宋_GB2312"/>
          <w:bCs/>
          <w:color w:val="000000"/>
          <w:sz w:val="32"/>
          <w:szCs w:val="32"/>
        </w:rPr>
      </w:pPr>
    </w:p>
    <w:p>
      <w:pPr>
        <w:spacing w:line="520" w:lineRule="exact"/>
        <w:rPr>
          <w:rFonts w:ascii="仿宋_GB2312" w:hAnsi="仿宋" w:eastAsia="仿宋_GB2312"/>
          <w:bCs/>
          <w:color w:val="000000"/>
          <w:sz w:val="32"/>
          <w:szCs w:val="32"/>
        </w:rPr>
      </w:pPr>
    </w:p>
    <w:p>
      <w:pPr>
        <w:spacing w:line="520" w:lineRule="exact"/>
        <w:ind w:firstLine="3520" w:firstLineChars="1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团体标准《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槟榔芋冬季栽培技术规程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</w:p>
    <w:p>
      <w:pPr>
        <w:spacing w:line="520" w:lineRule="exact"/>
        <w:ind w:right="112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标准编制工作组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85FA23"/>
    <w:multiLevelType w:val="singleLevel"/>
    <w:tmpl w:val="8385FA23"/>
    <w:lvl w:ilvl="0" w:tentative="0">
      <w:start w:val="2"/>
      <w:numFmt w:val="chineseCounting"/>
      <w:suff w:val="nothing"/>
      <w:lvlText w:val="（%1）"/>
      <w:lvlJc w:val="left"/>
      <w:pPr>
        <w:ind w:left="70"/>
      </w:pPr>
      <w:rPr>
        <w:rFonts w:hint="eastAsia"/>
      </w:rPr>
    </w:lvl>
  </w:abstractNum>
  <w:abstractNum w:abstractNumId="1">
    <w:nsid w:val="BCF73E57"/>
    <w:multiLevelType w:val="singleLevel"/>
    <w:tmpl w:val="BCF73E5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20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 w:tentative="0">
      <w:start w:val="1"/>
      <w:numFmt w:val="lowerLetter"/>
      <w:pStyle w:val="24"/>
      <w:suff w:val="nothing"/>
      <w:lvlText w:val="%1   "/>
      <w:lvlJc w:val="left"/>
      <w:pPr>
        <w:ind w:left="544" w:hanging="181"/>
      </w:pPr>
      <w:rPr>
        <w:rFonts w:hint="eastAsia" w:ascii="宋体" w:hAns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1DBF583A"/>
    <w:lvl w:ilvl="0" w:tentative="0">
      <w:start w:val="1"/>
      <w:numFmt w:val="decimal"/>
      <w:pStyle w:val="23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0">
      <w:start w:val="1"/>
      <w:numFmt w:val="decimal"/>
      <w:pStyle w:val="15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525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6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7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8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9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0">
      <w:start w:val="1"/>
      <w:numFmt w:val="upperLetter"/>
      <w:pStyle w:val="21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22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557C2AF5"/>
    <w:multiLevelType w:val="multilevel"/>
    <w:tmpl w:val="557C2AF5"/>
    <w:lvl w:ilvl="0" w:tentative="0">
      <w:start w:val="1"/>
      <w:numFmt w:val="decimal"/>
      <w:pStyle w:val="13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28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9">
    <w:nsid w:val="646260FA"/>
    <w:multiLevelType w:val="multilevel"/>
    <w:tmpl w:val="646260FA"/>
    <w:lvl w:ilvl="0" w:tentative="0">
      <w:start w:val="1"/>
      <w:numFmt w:val="decimal"/>
      <w:pStyle w:val="12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62E"/>
    <w:rsid w:val="0000457E"/>
    <w:rsid w:val="00005CA4"/>
    <w:rsid w:val="00013090"/>
    <w:rsid w:val="00016837"/>
    <w:rsid w:val="00021331"/>
    <w:rsid w:val="00024212"/>
    <w:rsid w:val="00024664"/>
    <w:rsid w:val="00033257"/>
    <w:rsid w:val="00034233"/>
    <w:rsid w:val="00034BDB"/>
    <w:rsid w:val="000576D0"/>
    <w:rsid w:val="00057758"/>
    <w:rsid w:val="0007330D"/>
    <w:rsid w:val="00073F72"/>
    <w:rsid w:val="00076BBA"/>
    <w:rsid w:val="00080F2F"/>
    <w:rsid w:val="0009177A"/>
    <w:rsid w:val="00093E74"/>
    <w:rsid w:val="000962F6"/>
    <w:rsid w:val="000A0201"/>
    <w:rsid w:val="000A4601"/>
    <w:rsid w:val="000A77CD"/>
    <w:rsid w:val="000D0ACE"/>
    <w:rsid w:val="000D15BE"/>
    <w:rsid w:val="000D5AC8"/>
    <w:rsid w:val="000D6612"/>
    <w:rsid w:val="000D751C"/>
    <w:rsid w:val="000D7F33"/>
    <w:rsid w:val="000F10EB"/>
    <w:rsid w:val="000F3365"/>
    <w:rsid w:val="000F517A"/>
    <w:rsid w:val="00101D2E"/>
    <w:rsid w:val="00103B83"/>
    <w:rsid w:val="00105252"/>
    <w:rsid w:val="00106661"/>
    <w:rsid w:val="00110864"/>
    <w:rsid w:val="00110F43"/>
    <w:rsid w:val="00112415"/>
    <w:rsid w:val="00114946"/>
    <w:rsid w:val="00126CA6"/>
    <w:rsid w:val="001273E7"/>
    <w:rsid w:val="00127EB0"/>
    <w:rsid w:val="00131B03"/>
    <w:rsid w:val="00133786"/>
    <w:rsid w:val="00134DD4"/>
    <w:rsid w:val="0015152A"/>
    <w:rsid w:val="00156663"/>
    <w:rsid w:val="001611BB"/>
    <w:rsid w:val="00183467"/>
    <w:rsid w:val="00190A64"/>
    <w:rsid w:val="001923CF"/>
    <w:rsid w:val="001925FD"/>
    <w:rsid w:val="00194FE3"/>
    <w:rsid w:val="00196054"/>
    <w:rsid w:val="0019711F"/>
    <w:rsid w:val="001A0DBF"/>
    <w:rsid w:val="001A3402"/>
    <w:rsid w:val="001B36E5"/>
    <w:rsid w:val="001B3B17"/>
    <w:rsid w:val="001C5F01"/>
    <w:rsid w:val="001C793C"/>
    <w:rsid w:val="001D22F0"/>
    <w:rsid w:val="001D64DB"/>
    <w:rsid w:val="001D7816"/>
    <w:rsid w:val="001E5000"/>
    <w:rsid w:val="001F07A8"/>
    <w:rsid w:val="001F241E"/>
    <w:rsid w:val="001F660A"/>
    <w:rsid w:val="00205603"/>
    <w:rsid w:val="002116FB"/>
    <w:rsid w:val="00214221"/>
    <w:rsid w:val="002223DD"/>
    <w:rsid w:val="002231E8"/>
    <w:rsid w:val="00223EB7"/>
    <w:rsid w:val="00231E62"/>
    <w:rsid w:val="00232769"/>
    <w:rsid w:val="00244ADA"/>
    <w:rsid w:val="002465C7"/>
    <w:rsid w:val="00254F7A"/>
    <w:rsid w:val="00256FE0"/>
    <w:rsid w:val="002621E1"/>
    <w:rsid w:val="00262753"/>
    <w:rsid w:val="00262771"/>
    <w:rsid w:val="00264A7D"/>
    <w:rsid w:val="00264CE4"/>
    <w:rsid w:val="00283085"/>
    <w:rsid w:val="0029084D"/>
    <w:rsid w:val="00291EF3"/>
    <w:rsid w:val="002A4D06"/>
    <w:rsid w:val="002B07E3"/>
    <w:rsid w:val="002B2E35"/>
    <w:rsid w:val="002C4FFB"/>
    <w:rsid w:val="002C5534"/>
    <w:rsid w:val="002C611B"/>
    <w:rsid w:val="002C73B6"/>
    <w:rsid w:val="002D6D1E"/>
    <w:rsid w:val="002E073F"/>
    <w:rsid w:val="002E7A35"/>
    <w:rsid w:val="002F34AA"/>
    <w:rsid w:val="002F4D7B"/>
    <w:rsid w:val="002F513F"/>
    <w:rsid w:val="002F613B"/>
    <w:rsid w:val="003025DF"/>
    <w:rsid w:val="00303E23"/>
    <w:rsid w:val="00306925"/>
    <w:rsid w:val="003144B8"/>
    <w:rsid w:val="0033375C"/>
    <w:rsid w:val="0034090F"/>
    <w:rsid w:val="00343C24"/>
    <w:rsid w:val="00345BCC"/>
    <w:rsid w:val="00353735"/>
    <w:rsid w:val="00357A1D"/>
    <w:rsid w:val="00357E18"/>
    <w:rsid w:val="0036001E"/>
    <w:rsid w:val="00362F10"/>
    <w:rsid w:val="00373BAD"/>
    <w:rsid w:val="00382AB2"/>
    <w:rsid w:val="00392E22"/>
    <w:rsid w:val="003B5050"/>
    <w:rsid w:val="003C2D44"/>
    <w:rsid w:val="003C483D"/>
    <w:rsid w:val="003D5CB5"/>
    <w:rsid w:val="003E330B"/>
    <w:rsid w:val="003E4A86"/>
    <w:rsid w:val="003F284D"/>
    <w:rsid w:val="003F28D0"/>
    <w:rsid w:val="003F3119"/>
    <w:rsid w:val="003F392A"/>
    <w:rsid w:val="003F3AAC"/>
    <w:rsid w:val="003F727B"/>
    <w:rsid w:val="0040035D"/>
    <w:rsid w:val="00404BD1"/>
    <w:rsid w:val="0040610D"/>
    <w:rsid w:val="00406A80"/>
    <w:rsid w:val="0042062E"/>
    <w:rsid w:val="00424AF1"/>
    <w:rsid w:val="00424FCB"/>
    <w:rsid w:val="00425860"/>
    <w:rsid w:val="00434E46"/>
    <w:rsid w:val="00434F90"/>
    <w:rsid w:val="004378E4"/>
    <w:rsid w:val="0044118D"/>
    <w:rsid w:val="004441BD"/>
    <w:rsid w:val="004503F4"/>
    <w:rsid w:val="00455661"/>
    <w:rsid w:val="0046025A"/>
    <w:rsid w:val="00460359"/>
    <w:rsid w:val="004605D8"/>
    <w:rsid w:val="004626AF"/>
    <w:rsid w:val="00465230"/>
    <w:rsid w:val="00467DEF"/>
    <w:rsid w:val="004805D0"/>
    <w:rsid w:val="00480BA1"/>
    <w:rsid w:val="0048357F"/>
    <w:rsid w:val="00484EF3"/>
    <w:rsid w:val="00485212"/>
    <w:rsid w:val="004865C9"/>
    <w:rsid w:val="0049011A"/>
    <w:rsid w:val="00491FE3"/>
    <w:rsid w:val="0049390C"/>
    <w:rsid w:val="004A25C4"/>
    <w:rsid w:val="004A614E"/>
    <w:rsid w:val="004A660C"/>
    <w:rsid w:val="004A76AB"/>
    <w:rsid w:val="004B2E7F"/>
    <w:rsid w:val="004C4136"/>
    <w:rsid w:val="004D5B22"/>
    <w:rsid w:val="004F0593"/>
    <w:rsid w:val="004F48C2"/>
    <w:rsid w:val="004F74F0"/>
    <w:rsid w:val="004F7FA9"/>
    <w:rsid w:val="00505469"/>
    <w:rsid w:val="0051028F"/>
    <w:rsid w:val="0051148B"/>
    <w:rsid w:val="00514C97"/>
    <w:rsid w:val="005159F5"/>
    <w:rsid w:val="00526200"/>
    <w:rsid w:val="005269CF"/>
    <w:rsid w:val="00535AC6"/>
    <w:rsid w:val="00537550"/>
    <w:rsid w:val="005639F8"/>
    <w:rsid w:val="005656AA"/>
    <w:rsid w:val="005742DB"/>
    <w:rsid w:val="00577C08"/>
    <w:rsid w:val="005802BD"/>
    <w:rsid w:val="0058151C"/>
    <w:rsid w:val="00581CE7"/>
    <w:rsid w:val="005870E5"/>
    <w:rsid w:val="005873D6"/>
    <w:rsid w:val="00596702"/>
    <w:rsid w:val="005A1A17"/>
    <w:rsid w:val="005A4523"/>
    <w:rsid w:val="005A4707"/>
    <w:rsid w:val="005B0CDC"/>
    <w:rsid w:val="005B23F7"/>
    <w:rsid w:val="005B7B7E"/>
    <w:rsid w:val="005D06D6"/>
    <w:rsid w:val="005D1EE1"/>
    <w:rsid w:val="005D2AEE"/>
    <w:rsid w:val="005D3F96"/>
    <w:rsid w:val="005D5DDF"/>
    <w:rsid w:val="005D6A5C"/>
    <w:rsid w:val="005E05D4"/>
    <w:rsid w:val="005E207A"/>
    <w:rsid w:val="005E2143"/>
    <w:rsid w:val="005F0995"/>
    <w:rsid w:val="005F1E35"/>
    <w:rsid w:val="005F36D9"/>
    <w:rsid w:val="005F6C71"/>
    <w:rsid w:val="005F71EC"/>
    <w:rsid w:val="006062AE"/>
    <w:rsid w:val="0060656D"/>
    <w:rsid w:val="00606B5A"/>
    <w:rsid w:val="00610884"/>
    <w:rsid w:val="0062702A"/>
    <w:rsid w:val="006404F1"/>
    <w:rsid w:val="0064449B"/>
    <w:rsid w:val="006467C4"/>
    <w:rsid w:val="00651C9C"/>
    <w:rsid w:val="00654D8C"/>
    <w:rsid w:val="006555D8"/>
    <w:rsid w:val="006610FC"/>
    <w:rsid w:val="006670DB"/>
    <w:rsid w:val="00667C57"/>
    <w:rsid w:val="00680EEB"/>
    <w:rsid w:val="006811BF"/>
    <w:rsid w:val="00682D7C"/>
    <w:rsid w:val="00682FAD"/>
    <w:rsid w:val="0068494D"/>
    <w:rsid w:val="006945D3"/>
    <w:rsid w:val="006A1BD7"/>
    <w:rsid w:val="006A3112"/>
    <w:rsid w:val="006B1080"/>
    <w:rsid w:val="006C0CC1"/>
    <w:rsid w:val="006C6B87"/>
    <w:rsid w:val="006C70ED"/>
    <w:rsid w:val="006D4CCC"/>
    <w:rsid w:val="006D5D5F"/>
    <w:rsid w:val="006E155C"/>
    <w:rsid w:val="006F77F7"/>
    <w:rsid w:val="00700D32"/>
    <w:rsid w:val="0070138D"/>
    <w:rsid w:val="0070266E"/>
    <w:rsid w:val="00705429"/>
    <w:rsid w:val="0070730B"/>
    <w:rsid w:val="00712BC5"/>
    <w:rsid w:val="00715CA4"/>
    <w:rsid w:val="00716EAC"/>
    <w:rsid w:val="00720395"/>
    <w:rsid w:val="0072448B"/>
    <w:rsid w:val="00726016"/>
    <w:rsid w:val="0075401E"/>
    <w:rsid w:val="00755471"/>
    <w:rsid w:val="007556A8"/>
    <w:rsid w:val="00760DDA"/>
    <w:rsid w:val="00776FE6"/>
    <w:rsid w:val="007812EA"/>
    <w:rsid w:val="00781F1A"/>
    <w:rsid w:val="00782C84"/>
    <w:rsid w:val="00784D8F"/>
    <w:rsid w:val="007912E9"/>
    <w:rsid w:val="007923BD"/>
    <w:rsid w:val="00793820"/>
    <w:rsid w:val="00797654"/>
    <w:rsid w:val="007A022B"/>
    <w:rsid w:val="007A1A73"/>
    <w:rsid w:val="007A36E9"/>
    <w:rsid w:val="007A5B26"/>
    <w:rsid w:val="007A710B"/>
    <w:rsid w:val="007B4614"/>
    <w:rsid w:val="007B7812"/>
    <w:rsid w:val="007C4C1F"/>
    <w:rsid w:val="007D4356"/>
    <w:rsid w:val="007D520B"/>
    <w:rsid w:val="007D5225"/>
    <w:rsid w:val="007D6192"/>
    <w:rsid w:val="007D646F"/>
    <w:rsid w:val="007E0035"/>
    <w:rsid w:val="007F05BA"/>
    <w:rsid w:val="007F17C2"/>
    <w:rsid w:val="007F3051"/>
    <w:rsid w:val="007F445F"/>
    <w:rsid w:val="007F69C4"/>
    <w:rsid w:val="00805B1A"/>
    <w:rsid w:val="00812666"/>
    <w:rsid w:val="00825BEF"/>
    <w:rsid w:val="008275DE"/>
    <w:rsid w:val="0083025F"/>
    <w:rsid w:val="00831A4E"/>
    <w:rsid w:val="00834F29"/>
    <w:rsid w:val="00843099"/>
    <w:rsid w:val="00844A63"/>
    <w:rsid w:val="0085555C"/>
    <w:rsid w:val="00860076"/>
    <w:rsid w:val="00864B42"/>
    <w:rsid w:val="00864EDC"/>
    <w:rsid w:val="008766A7"/>
    <w:rsid w:val="0088023F"/>
    <w:rsid w:val="008853E8"/>
    <w:rsid w:val="00890B67"/>
    <w:rsid w:val="00893361"/>
    <w:rsid w:val="00893CE3"/>
    <w:rsid w:val="0089684C"/>
    <w:rsid w:val="008A42EB"/>
    <w:rsid w:val="008A4E58"/>
    <w:rsid w:val="008A5709"/>
    <w:rsid w:val="008B1A6F"/>
    <w:rsid w:val="008B7C56"/>
    <w:rsid w:val="008C1BE0"/>
    <w:rsid w:val="008D1502"/>
    <w:rsid w:val="008D2E6B"/>
    <w:rsid w:val="008D3059"/>
    <w:rsid w:val="008D44E2"/>
    <w:rsid w:val="008D5C1F"/>
    <w:rsid w:val="008E0C90"/>
    <w:rsid w:val="008F024A"/>
    <w:rsid w:val="00900B1D"/>
    <w:rsid w:val="00910D7C"/>
    <w:rsid w:val="00911CE5"/>
    <w:rsid w:val="0091490C"/>
    <w:rsid w:val="009204DB"/>
    <w:rsid w:val="0092128F"/>
    <w:rsid w:val="009220D3"/>
    <w:rsid w:val="009226F2"/>
    <w:rsid w:val="00926314"/>
    <w:rsid w:val="00930317"/>
    <w:rsid w:val="00933333"/>
    <w:rsid w:val="00936A0A"/>
    <w:rsid w:val="0094724D"/>
    <w:rsid w:val="00954E13"/>
    <w:rsid w:val="0096452B"/>
    <w:rsid w:val="00975377"/>
    <w:rsid w:val="00981308"/>
    <w:rsid w:val="00983CDC"/>
    <w:rsid w:val="00983E62"/>
    <w:rsid w:val="00984743"/>
    <w:rsid w:val="00987A4E"/>
    <w:rsid w:val="0099188F"/>
    <w:rsid w:val="00995822"/>
    <w:rsid w:val="00997A44"/>
    <w:rsid w:val="009A7254"/>
    <w:rsid w:val="009B2BF4"/>
    <w:rsid w:val="009B52A3"/>
    <w:rsid w:val="009B53BA"/>
    <w:rsid w:val="009B609B"/>
    <w:rsid w:val="009B6F4E"/>
    <w:rsid w:val="009B6FA5"/>
    <w:rsid w:val="009B74CD"/>
    <w:rsid w:val="009D38DB"/>
    <w:rsid w:val="009D3D0A"/>
    <w:rsid w:val="009E1F06"/>
    <w:rsid w:val="009E5DEF"/>
    <w:rsid w:val="009E6B6B"/>
    <w:rsid w:val="009F79E3"/>
    <w:rsid w:val="00A04E49"/>
    <w:rsid w:val="00A10236"/>
    <w:rsid w:val="00A10B7E"/>
    <w:rsid w:val="00A11E9D"/>
    <w:rsid w:val="00A25268"/>
    <w:rsid w:val="00A34924"/>
    <w:rsid w:val="00A35F3F"/>
    <w:rsid w:val="00A40234"/>
    <w:rsid w:val="00A4496C"/>
    <w:rsid w:val="00A51BDA"/>
    <w:rsid w:val="00A52FED"/>
    <w:rsid w:val="00A547EA"/>
    <w:rsid w:val="00A54EE3"/>
    <w:rsid w:val="00A60040"/>
    <w:rsid w:val="00A64033"/>
    <w:rsid w:val="00A66230"/>
    <w:rsid w:val="00A66B33"/>
    <w:rsid w:val="00A7226B"/>
    <w:rsid w:val="00A80E57"/>
    <w:rsid w:val="00A928C5"/>
    <w:rsid w:val="00A955A3"/>
    <w:rsid w:val="00A958C2"/>
    <w:rsid w:val="00A95C9E"/>
    <w:rsid w:val="00A96933"/>
    <w:rsid w:val="00AA6572"/>
    <w:rsid w:val="00AB0EDD"/>
    <w:rsid w:val="00AB238D"/>
    <w:rsid w:val="00AC5DC1"/>
    <w:rsid w:val="00AD1275"/>
    <w:rsid w:val="00AD56BA"/>
    <w:rsid w:val="00AF00B0"/>
    <w:rsid w:val="00AF0B6E"/>
    <w:rsid w:val="00AF0C1B"/>
    <w:rsid w:val="00AF1152"/>
    <w:rsid w:val="00AF20DE"/>
    <w:rsid w:val="00AF2C7E"/>
    <w:rsid w:val="00AF337C"/>
    <w:rsid w:val="00AF365B"/>
    <w:rsid w:val="00B0152E"/>
    <w:rsid w:val="00B06F77"/>
    <w:rsid w:val="00B17EA4"/>
    <w:rsid w:val="00B2401D"/>
    <w:rsid w:val="00B27F1E"/>
    <w:rsid w:val="00B320E0"/>
    <w:rsid w:val="00B35A2B"/>
    <w:rsid w:val="00B44C87"/>
    <w:rsid w:val="00B525E7"/>
    <w:rsid w:val="00B5298A"/>
    <w:rsid w:val="00B52BC2"/>
    <w:rsid w:val="00B54B9E"/>
    <w:rsid w:val="00B5655B"/>
    <w:rsid w:val="00B602C0"/>
    <w:rsid w:val="00B65AA6"/>
    <w:rsid w:val="00B736AC"/>
    <w:rsid w:val="00B753D4"/>
    <w:rsid w:val="00B804DA"/>
    <w:rsid w:val="00B91C42"/>
    <w:rsid w:val="00BB0ED6"/>
    <w:rsid w:val="00BB1C0A"/>
    <w:rsid w:val="00BB4B74"/>
    <w:rsid w:val="00BB6FED"/>
    <w:rsid w:val="00BC41B2"/>
    <w:rsid w:val="00BC45B6"/>
    <w:rsid w:val="00BC4F9E"/>
    <w:rsid w:val="00BE0799"/>
    <w:rsid w:val="00BF1119"/>
    <w:rsid w:val="00BF5510"/>
    <w:rsid w:val="00C070A2"/>
    <w:rsid w:val="00C10D37"/>
    <w:rsid w:val="00C17E66"/>
    <w:rsid w:val="00C3032A"/>
    <w:rsid w:val="00C31C6D"/>
    <w:rsid w:val="00C31FF2"/>
    <w:rsid w:val="00C33C36"/>
    <w:rsid w:val="00C44645"/>
    <w:rsid w:val="00C50A3F"/>
    <w:rsid w:val="00C51847"/>
    <w:rsid w:val="00C6137D"/>
    <w:rsid w:val="00C61540"/>
    <w:rsid w:val="00C61B0C"/>
    <w:rsid w:val="00C67D4C"/>
    <w:rsid w:val="00C706FA"/>
    <w:rsid w:val="00C81D18"/>
    <w:rsid w:val="00C82258"/>
    <w:rsid w:val="00C82744"/>
    <w:rsid w:val="00C836D9"/>
    <w:rsid w:val="00C843F0"/>
    <w:rsid w:val="00C85F66"/>
    <w:rsid w:val="00CA0CFD"/>
    <w:rsid w:val="00CA37C8"/>
    <w:rsid w:val="00CA5047"/>
    <w:rsid w:val="00CC4EE7"/>
    <w:rsid w:val="00CD5C22"/>
    <w:rsid w:val="00CE363E"/>
    <w:rsid w:val="00CF1430"/>
    <w:rsid w:val="00CF1AE4"/>
    <w:rsid w:val="00D0046C"/>
    <w:rsid w:val="00D00979"/>
    <w:rsid w:val="00D01E3B"/>
    <w:rsid w:val="00D06EEA"/>
    <w:rsid w:val="00D11946"/>
    <w:rsid w:val="00D14F71"/>
    <w:rsid w:val="00D15612"/>
    <w:rsid w:val="00D17A89"/>
    <w:rsid w:val="00D21619"/>
    <w:rsid w:val="00D21B1B"/>
    <w:rsid w:val="00D220B5"/>
    <w:rsid w:val="00D26063"/>
    <w:rsid w:val="00D32832"/>
    <w:rsid w:val="00D33C76"/>
    <w:rsid w:val="00D34827"/>
    <w:rsid w:val="00D41F8D"/>
    <w:rsid w:val="00D451AB"/>
    <w:rsid w:val="00D50991"/>
    <w:rsid w:val="00D578AF"/>
    <w:rsid w:val="00D61DA0"/>
    <w:rsid w:val="00D65D7A"/>
    <w:rsid w:val="00D6793A"/>
    <w:rsid w:val="00D7347C"/>
    <w:rsid w:val="00D74D7F"/>
    <w:rsid w:val="00D80F6F"/>
    <w:rsid w:val="00D9342C"/>
    <w:rsid w:val="00D944CB"/>
    <w:rsid w:val="00DA59FA"/>
    <w:rsid w:val="00DB295F"/>
    <w:rsid w:val="00DB3826"/>
    <w:rsid w:val="00DB47DC"/>
    <w:rsid w:val="00DB74F2"/>
    <w:rsid w:val="00DC205C"/>
    <w:rsid w:val="00DC5687"/>
    <w:rsid w:val="00DC7A5D"/>
    <w:rsid w:val="00DD1CF8"/>
    <w:rsid w:val="00DD6102"/>
    <w:rsid w:val="00DD71F1"/>
    <w:rsid w:val="00DE00C5"/>
    <w:rsid w:val="00DE3FB5"/>
    <w:rsid w:val="00E00D0A"/>
    <w:rsid w:val="00E07B93"/>
    <w:rsid w:val="00E07E15"/>
    <w:rsid w:val="00E161F8"/>
    <w:rsid w:val="00E32815"/>
    <w:rsid w:val="00E40596"/>
    <w:rsid w:val="00E40BA9"/>
    <w:rsid w:val="00E41B77"/>
    <w:rsid w:val="00E45EC3"/>
    <w:rsid w:val="00E47C4F"/>
    <w:rsid w:val="00E541A3"/>
    <w:rsid w:val="00E637BB"/>
    <w:rsid w:val="00E638C8"/>
    <w:rsid w:val="00E658DD"/>
    <w:rsid w:val="00E65D7E"/>
    <w:rsid w:val="00E82204"/>
    <w:rsid w:val="00E8377B"/>
    <w:rsid w:val="00E83A77"/>
    <w:rsid w:val="00E8796C"/>
    <w:rsid w:val="00E90251"/>
    <w:rsid w:val="00E933C0"/>
    <w:rsid w:val="00E962B7"/>
    <w:rsid w:val="00E96877"/>
    <w:rsid w:val="00E978BF"/>
    <w:rsid w:val="00EA1188"/>
    <w:rsid w:val="00EB0752"/>
    <w:rsid w:val="00EB77CC"/>
    <w:rsid w:val="00EC0997"/>
    <w:rsid w:val="00ED30F4"/>
    <w:rsid w:val="00ED43BB"/>
    <w:rsid w:val="00ED68E9"/>
    <w:rsid w:val="00EE1FC2"/>
    <w:rsid w:val="00EF670C"/>
    <w:rsid w:val="00F1455B"/>
    <w:rsid w:val="00F16D36"/>
    <w:rsid w:val="00F210FD"/>
    <w:rsid w:val="00F33087"/>
    <w:rsid w:val="00F350B2"/>
    <w:rsid w:val="00F372A2"/>
    <w:rsid w:val="00F4243D"/>
    <w:rsid w:val="00F45BA7"/>
    <w:rsid w:val="00F45BE9"/>
    <w:rsid w:val="00F46308"/>
    <w:rsid w:val="00F46F4A"/>
    <w:rsid w:val="00F60788"/>
    <w:rsid w:val="00F7063D"/>
    <w:rsid w:val="00F70C88"/>
    <w:rsid w:val="00F7168A"/>
    <w:rsid w:val="00F734AD"/>
    <w:rsid w:val="00F76618"/>
    <w:rsid w:val="00F76E42"/>
    <w:rsid w:val="00F81D1B"/>
    <w:rsid w:val="00F84292"/>
    <w:rsid w:val="00F85E04"/>
    <w:rsid w:val="00F864DA"/>
    <w:rsid w:val="00F92643"/>
    <w:rsid w:val="00F936B3"/>
    <w:rsid w:val="00F97F7D"/>
    <w:rsid w:val="00FA0333"/>
    <w:rsid w:val="00FA19D5"/>
    <w:rsid w:val="00FA3EE8"/>
    <w:rsid w:val="00FB3E2C"/>
    <w:rsid w:val="00FC19B9"/>
    <w:rsid w:val="00FD00A5"/>
    <w:rsid w:val="00FD4B0F"/>
    <w:rsid w:val="00FF0C09"/>
    <w:rsid w:val="01CE5D1C"/>
    <w:rsid w:val="039E595D"/>
    <w:rsid w:val="070F07F6"/>
    <w:rsid w:val="08083403"/>
    <w:rsid w:val="09BE5E2A"/>
    <w:rsid w:val="0A091F73"/>
    <w:rsid w:val="0A8504E9"/>
    <w:rsid w:val="0D92619C"/>
    <w:rsid w:val="0F3C5BB5"/>
    <w:rsid w:val="0F412CA9"/>
    <w:rsid w:val="0FD566D2"/>
    <w:rsid w:val="13B2170D"/>
    <w:rsid w:val="13B97480"/>
    <w:rsid w:val="14034EB5"/>
    <w:rsid w:val="14870494"/>
    <w:rsid w:val="15085E8C"/>
    <w:rsid w:val="15174F60"/>
    <w:rsid w:val="1556095A"/>
    <w:rsid w:val="167D7F24"/>
    <w:rsid w:val="16CD23E8"/>
    <w:rsid w:val="17306AB5"/>
    <w:rsid w:val="17373F64"/>
    <w:rsid w:val="19A054D6"/>
    <w:rsid w:val="1B0717C8"/>
    <w:rsid w:val="1BE33681"/>
    <w:rsid w:val="1D684CC5"/>
    <w:rsid w:val="20904BDF"/>
    <w:rsid w:val="21862EC6"/>
    <w:rsid w:val="237A2B2A"/>
    <w:rsid w:val="2A766C11"/>
    <w:rsid w:val="2C4F36F5"/>
    <w:rsid w:val="2D5F22BD"/>
    <w:rsid w:val="2FB25651"/>
    <w:rsid w:val="2FF37D11"/>
    <w:rsid w:val="3013049D"/>
    <w:rsid w:val="332C3D99"/>
    <w:rsid w:val="34FB40C8"/>
    <w:rsid w:val="365875C5"/>
    <w:rsid w:val="39356049"/>
    <w:rsid w:val="3B4E60E4"/>
    <w:rsid w:val="3BFE2074"/>
    <w:rsid w:val="3F8C7277"/>
    <w:rsid w:val="3FA0222F"/>
    <w:rsid w:val="429246B0"/>
    <w:rsid w:val="42D769B6"/>
    <w:rsid w:val="440D61D8"/>
    <w:rsid w:val="44F600D3"/>
    <w:rsid w:val="45617704"/>
    <w:rsid w:val="48B048DB"/>
    <w:rsid w:val="4B8C0594"/>
    <w:rsid w:val="4CFE380A"/>
    <w:rsid w:val="4D862B8C"/>
    <w:rsid w:val="4DFF35F5"/>
    <w:rsid w:val="4EF47599"/>
    <w:rsid w:val="4FE3578A"/>
    <w:rsid w:val="54E94B5B"/>
    <w:rsid w:val="55661639"/>
    <w:rsid w:val="55761622"/>
    <w:rsid w:val="5BD857FA"/>
    <w:rsid w:val="5C080481"/>
    <w:rsid w:val="5E202145"/>
    <w:rsid w:val="5FAD4746"/>
    <w:rsid w:val="6031647B"/>
    <w:rsid w:val="62F74A7A"/>
    <w:rsid w:val="668E2223"/>
    <w:rsid w:val="68053611"/>
    <w:rsid w:val="683026D9"/>
    <w:rsid w:val="693F388B"/>
    <w:rsid w:val="6DBA21A1"/>
    <w:rsid w:val="73731F46"/>
    <w:rsid w:val="75FB7F3E"/>
    <w:rsid w:val="7AF5051C"/>
    <w:rsid w:val="7BBA680A"/>
    <w:rsid w:val="7BE826AE"/>
    <w:rsid w:val="7CCF532E"/>
    <w:rsid w:val="7E00338F"/>
    <w:rsid w:val="7FAE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2"/>
    <w:basedOn w:val="1"/>
    <w:qFormat/>
    <w:uiPriority w:val="0"/>
    <w:pPr>
      <w:spacing w:after="120" w:line="480" w:lineRule="auto"/>
      <w:textAlignment w:val="baseline"/>
    </w:pPr>
    <w:rPr>
      <w:sz w:val="32"/>
      <w:szCs w:val="32"/>
    </w:rPr>
  </w:style>
  <w:style w:type="paragraph" w:styleId="3">
    <w:name w:val="footer"/>
    <w:basedOn w:val="1"/>
    <w:link w:val="2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paragraph" w:customStyle="1" w:styleId="10">
    <w:name w:val="段"/>
    <w:link w:val="25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正文表标题"/>
    <w:next w:val="10"/>
    <w:qFormat/>
    <w:uiPriority w:val="0"/>
    <w:pPr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">
    <w:name w:val="正文图标题"/>
    <w:next w:val="10"/>
    <w:qFormat/>
    <w:uiPriority w:val="0"/>
    <w:pPr>
      <w:numPr>
        <w:ilvl w:val="0"/>
        <w:numId w:val="1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">
    <w:name w:val="其他发布日期"/>
    <w:basedOn w:val="1"/>
    <w:qFormat/>
    <w:uiPriority w:val="0"/>
    <w:pPr>
      <w:framePr w:w="3997" w:h="471" w:hRule="exact" w:vSpace="181" w:wrap="around" w:vAnchor="page" w:hAnchor="page" w:x="1419" w:y="14097" w:anchorLock="1"/>
      <w:widowControl/>
      <w:numPr>
        <w:ilvl w:val="0"/>
        <w:numId w:val="2"/>
      </w:numPr>
      <w:jc w:val="left"/>
    </w:pPr>
    <w:rPr>
      <w:rFonts w:eastAsia="黑体"/>
      <w:kern w:val="0"/>
      <w:sz w:val="28"/>
      <w:szCs w:val="20"/>
    </w:rPr>
  </w:style>
  <w:style w:type="paragraph" w:customStyle="1" w:styleId="14">
    <w:name w:val="一级条标题"/>
    <w:next w:val="10"/>
    <w:qFormat/>
    <w:uiPriority w:val="0"/>
    <w:pPr>
      <w:numPr>
        <w:ilvl w:val="1"/>
        <w:numId w:val="3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章标题"/>
    <w:next w:val="10"/>
    <w:qFormat/>
    <w:uiPriority w:val="0"/>
    <w:pPr>
      <w:numPr>
        <w:ilvl w:val="0"/>
        <w:numId w:val="3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6">
    <w:name w:val="二级条标题"/>
    <w:basedOn w:val="14"/>
    <w:next w:val="10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7">
    <w:name w:val="三级条标题"/>
    <w:basedOn w:val="16"/>
    <w:next w:val="10"/>
    <w:qFormat/>
    <w:uiPriority w:val="0"/>
    <w:pPr>
      <w:numPr>
        <w:ilvl w:val="3"/>
      </w:numPr>
      <w:outlineLvl w:val="4"/>
    </w:pPr>
  </w:style>
  <w:style w:type="paragraph" w:customStyle="1" w:styleId="18">
    <w:name w:val="四级条标题"/>
    <w:basedOn w:val="17"/>
    <w:next w:val="10"/>
    <w:qFormat/>
    <w:uiPriority w:val="0"/>
    <w:pPr>
      <w:numPr>
        <w:ilvl w:val="4"/>
      </w:numPr>
      <w:outlineLvl w:val="5"/>
    </w:pPr>
  </w:style>
  <w:style w:type="paragraph" w:customStyle="1" w:styleId="19">
    <w:name w:val="五级条标题"/>
    <w:basedOn w:val="18"/>
    <w:next w:val="10"/>
    <w:qFormat/>
    <w:uiPriority w:val="0"/>
    <w:pPr>
      <w:numPr>
        <w:ilvl w:val="5"/>
      </w:numPr>
      <w:outlineLvl w:val="6"/>
    </w:pPr>
  </w:style>
  <w:style w:type="paragraph" w:customStyle="1" w:styleId="20">
    <w:name w:val="注："/>
    <w:next w:val="10"/>
    <w:qFormat/>
    <w:uiPriority w:val="0"/>
    <w:pPr>
      <w:widowControl w:val="0"/>
      <w:numPr>
        <w:ilvl w:val="0"/>
        <w:numId w:val="4"/>
      </w:numPr>
      <w:autoSpaceDE w:val="0"/>
      <w:autoSpaceDN w:val="0"/>
      <w:ind w:left="726" w:hanging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1">
    <w:name w:val="附录图标号"/>
    <w:basedOn w:val="1"/>
    <w:qFormat/>
    <w:uiPriority w:val="0"/>
    <w:pPr>
      <w:keepNext/>
      <w:pageBreakBefore/>
      <w:widowControl/>
      <w:numPr>
        <w:ilvl w:val="0"/>
        <w:numId w:val="5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22">
    <w:name w:val="附录图标题"/>
    <w:basedOn w:val="1"/>
    <w:next w:val="10"/>
    <w:qFormat/>
    <w:uiPriority w:val="0"/>
    <w:pPr>
      <w:numPr>
        <w:ilvl w:val="1"/>
        <w:numId w:val="5"/>
      </w:numPr>
      <w:tabs>
        <w:tab w:val="left" w:pos="363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23">
    <w:name w:val="注×：（正文）"/>
    <w:qFormat/>
    <w:uiPriority w:val="0"/>
    <w:pPr>
      <w:numPr>
        <w:ilvl w:val="0"/>
        <w:numId w:val="6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4">
    <w:name w:val="图表脚注说明"/>
    <w:basedOn w:val="1"/>
    <w:qFormat/>
    <w:uiPriority w:val="0"/>
    <w:pPr>
      <w:numPr>
        <w:ilvl w:val="0"/>
        <w:numId w:val="7"/>
      </w:numPr>
    </w:pPr>
    <w:rPr>
      <w:rFonts w:ascii="宋体"/>
      <w:sz w:val="18"/>
      <w:szCs w:val="18"/>
    </w:rPr>
  </w:style>
  <w:style w:type="character" w:customStyle="1" w:styleId="25">
    <w:name w:val="段 Char"/>
    <w:basedOn w:val="8"/>
    <w:link w:val="10"/>
    <w:qFormat/>
    <w:uiPriority w:val="0"/>
    <w:rPr>
      <w:rFonts w:ascii="宋体"/>
      <w:sz w:val="21"/>
      <w:lang w:val="en-US" w:eastAsia="zh-CN" w:bidi="ar-SA"/>
    </w:rPr>
  </w:style>
  <w:style w:type="character" w:customStyle="1" w:styleId="26">
    <w:name w:val="页眉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27">
    <w:name w:val="页脚 字符"/>
    <w:basedOn w:val="8"/>
    <w:link w:val="3"/>
    <w:qFormat/>
    <w:uiPriority w:val="0"/>
    <w:rPr>
      <w:kern w:val="2"/>
      <w:sz w:val="18"/>
      <w:szCs w:val="18"/>
    </w:rPr>
  </w:style>
  <w:style w:type="paragraph" w:customStyle="1" w:styleId="28">
    <w:name w:val="附录表标题"/>
    <w:basedOn w:val="1"/>
    <w:next w:val="10"/>
    <w:qFormat/>
    <w:uiPriority w:val="0"/>
    <w:pPr>
      <w:numPr>
        <w:ilvl w:val="1"/>
        <w:numId w:val="8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13</Pages>
  <Words>1125</Words>
  <Characters>6418</Characters>
  <Lines>53</Lines>
  <Paragraphs>15</Paragraphs>
  <TotalTime>3</TotalTime>
  <ScaleCrop>false</ScaleCrop>
  <LinksUpToDate>false</LinksUpToDate>
  <CharactersWithSpaces>7528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2021-09-07T09:59:00Z</dcterms:created>
  <dc:creator>USER</dc:creator>
  <cp:lastModifiedBy>Administrator</cp:lastModifiedBy>
  <cp:lastPrinted>2019-07-10T11:21:00Z</cp:lastPrinted>
  <dcterms:modified xsi:type="dcterms:W3CDTF">2021-11-22T04:17:02Z</dcterms:modified>
  <dc:title>广西地方标准《脱氢枞酸》（征求意见稿）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484DF7F1BEB842158BCD0584349217B5</vt:lpwstr>
  </property>
</Properties>
</file>